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90036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0036E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7.3pt;margin-top:21.3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</w:t>
                    </w:r>
                    <w:r w:rsidR="009D1E40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505</w:t>
                    </w:r>
                    <w:r w:rsidR="009D1E40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25 </w:t>
                    </w:r>
                  </w:p>
                  <w:p w:rsidR="009D1E40" w:rsidRDefault="009D1E40" w:rsidP="0014254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</w:p>
                  <w:p w:rsidR="00142547" w:rsidRDefault="00142547" w:rsidP="00142547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Малявкін</w:t>
                      </w:r>
                      <w:proofErr w:type="spellEnd"/>
                    </w:p>
                    <w:p w:rsidR="00142547" w:rsidRDefault="00142547" w:rsidP="00142547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142547" w:rsidRDefault="004F060B" w:rsidP="0014254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Руденко</w:t>
                      </w:r>
                    </w:p>
                    <w:p w:rsidR="004F060B" w:rsidRDefault="004F060B" w:rsidP="0014254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</w:p>
                    <w:p w:rsidR="00142547" w:rsidRDefault="00142547" w:rsidP="0014254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142547" w:rsidRDefault="00142547" w:rsidP="0014254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C660F2" w:rsidRDefault="00C660F2" w:rsidP="00C660F2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Дослідження схем виконавчої групи БМРЦ.</w:t>
                    </w:r>
                  </w:p>
                  <w:p w:rsidR="00142547" w:rsidRPr="00C660F2" w:rsidRDefault="00142547" w:rsidP="00C660F2">
                    <w:pPr>
                      <w:jc w:val="center"/>
                      <w:rPr>
                        <w:szCs w:val="28"/>
                        <w:lang w:val="uk-UA"/>
                      </w:rPr>
                    </w:pP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142547" w:rsidRDefault="00142547" w:rsidP="00142547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C660F2">
        <w:rPr>
          <w:rFonts w:ascii="Times New Roman" w:hAnsi="Times New Roman" w:cs="Times New Roman"/>
          <w:sz w:val="28"/>
          <w:szCs w:val="28"/>
          <w:lang w:val="uk-UA"/>
        </w:rPr>
        <w:t>Мета роботи: Д</w:t>
      </w:r>
      <w:r w:rsidR="00142547">
        <w:rPr>
          <w:rFonts w:ascii="Times New Roman" w:hAnsi="Times New Roman" w:cs="Times New Roman"/>
          <w:sz w:val="28"/>
          <w:szCs w:val="28"/>
          <w:lang w:val="uk-UA"/>
        </w:rPr>
        <w:t>ослідження схем виконавчої групи БМРЦ.</w:t>
      </w:r>
    </w:p>
    <w:p w:rsidR="00142547" w:rsidRDefault="001425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Відповіді на контрольні запитання:</w:t>
      </w:r>
    </w:p>
    <w:p w:rsidR="00BC6E51" w:rsidRDefault="0014254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1.Схеми виконавчої групи призначені для встановлення, замикання, розмикання,штучного розмикання з перевіркою умов безпеки руху потягів.      Порядок роботи такий: При прийомі потяга на путь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 в блоці ВД світлофора Н спрацює по схемі відповідності реле Н (початкове),та реле ОН. Через фронтовий контакт реле ПП і тиловий ОП збудиться реле </w:t>
      </w:r>
      <w:proofErr w:type="spellStart"/>
      <w:r w:rsidR="00B92376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B92376">
        <w:rPr>
          <w:rFonts w:ascii="Times New Roman" w:hAnsi="Times New Roman" w:cs="Times New Roman"/>
          <w:sz w:val="28"/>
          <w:szCs w:val="28"/>
          <w:lang w:val="uk-UA"/>
        </w:rPr>
        <w:t xml:space="preserve"> в блоці ВД, і </w:t>
      </w:r>
      <w:proofErr w:type="spellStart"/>
      <w:r w:rsidR="00B92376">
        <w:rPr>
          <w:rFonts w:ascii="Times New Roman" w:hAnsi="Times New Roman" w:cs="Times New Roman"/>
          <w:sz w:val="28"/>
          <w:szCs w:val="28"/>
          <w:lang w:val="uk-UA"/>
        </w:rPr>
        <w:t>самоблокується</w:t>
      </w:r>
      <w:proofErr w:type="spellEnd"/>
      <w:r w:rsidR="00B92376">
        <w:rPr>
          <w:rFonts w:ascii="Times New Roman" w:hAnsi="Times New Roman" w:cs="Times New Roman"/>
          <w:sz w:val="28"/>
          <w:szCs w:val="28"/>
          <w:lang w:val="uk-UA"/>
        </w:rPr>
        <w:t xml:space="preserve"> через власний контакт. В блоках дільниць НАП, 1СП, 5СП також збудяться реле КС.В схемі </w:t>
      </w:r>
      <w:proofErr w:type="spellStart"/>
      <w:r w:rsidR="00B92376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B92376">
        <w:rPr>
          <w:rFonts w:ascii="Times New Roman" w:hAnsi="Times New Roman" w:cs="Times New Roman"/>
          <w:sz w:val="28"/>
          <w:szCs w:val="28"/>
          <w:lang w:val="uk-UA"/>
        </w:rPr>
        <w:t xml:space="preserve"> перевіряється вільність секцій, відсутність розмикання маршруту, відсутність </w:t>
      </w:r>
      <w:proofErr w:type="spellStart"/>
      <w:r w:rsidR="00B92376">
        <w:rPr>
          <w:rFonts w:ascii="Times New Roman" w:hAnsi="Times New Roman" w:cs="Times New Roman"/>
          <w:sz w:val="28"/>
          <w:szCs w:val="28"/>
          <w:lang w:val="uk-UA"/>
        </w:rPr>
        <w:t>взрізу</w:t>
      </w:r>
      <w:proofErr w:type="spellEnd"/>
      <w:r w:rsidR="00B92376">
        <w:rPr>
          <w:rFonts w:ascii="Times New Roman" w:hAnsi="Times New Roman" w:cs="Times New Roman"/>
          <w:sz w:val="28"/>
          <w:szCs w:val="28"/>
          <w:lang w:val="uk-UA"/>
        </w:rPr>
        <w:t xml:space="preserve"> стрілки, положення стрілки, відсутність встановлення зустрічного маршруту на путь </w:t>
      </w:r>
      <w:r w:rsidR="00B9237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92376">
        <w:rPr>
          <w:rFonts w:ascii="Times New Roman" w:hAnsi="Times New Roman" w:cs="Times New Roman"/>
          <w:sz w:val="28"/>
          <w:szCs w:val="28"/>
          <w:lang w:val="uk-UA"/>
        </w:rPr>
        <w:t xml:space="preserve">П (фронтовий контакт реле ЧИ). Коли в секціях спрацюють реле </w:t>
      </w:r>
      <w:proofErr w:type="spellStart"/>
      <w:r w:rsidR="00B92376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B92376">
        <w:rPr>
          <w:rFonts w:ascii="Times New Roman" w:hAnsi="Times New Roman" w:cs="Times New Roman"/>
          <w:sz w:val="28"/>
          <w:szCs w:val="28"/>
          <w:lang w:val="uk-UA"/>
        </w:rPr>
        <w:t>,  вони знеструмлять маршрутні реле (1М,2М). Реле З відпустить якір, і секції замкнуться.</w:t>
      </w:r>
      <w:r w:rsidR="00BC6E51">
        <w:rPr>
          <w:rFonts w:ascii="Times New Roman" w:hAnsi="Times New Roman" w:cs="Times New Roman"/>
          <w:sz w:val="28"/>
          <w:szCs w:val="28"/>
          <w:lang w:val="uk-UA"/>
        </w:rPr>
        <w:t xml:space="preserve"> Потім коли секції замкнуться збудиться реле НС.В колі реле С перевіряється: замикання секцій (тилові контакти реле 1М,2М), відсутність штучного розмикання секції (тиловий РИ), знеструмлений стан реле НИ, вільність путі </w:t>
      </w:r>
      <w:r w:rsidR="00BC6E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C6E51">
        <w:rPr>
          <w:rFonts w:ascii="Times New Roman" w:hAnsi="Times New Roman" w:cs="Times New Roman"/>
          <w:sz w:val="28"/>
          <w:szCs w:val="28"/>
          <w:lang w:val="uk-UA"/>
        </w:rPr>
        <w:t xml:space="preserve">П.При вступі потяга на маршрут знеструмляться всі реле </w:t>
      </w:r>
      <w:proofErr w:type="spellStart"/>
      <w:r w:rsidR="00BC6E51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BC6E51">
        <w:rPr>
          <w:rFonts w:ascii="Times New Roman" w:hAnsi="Times New Roman" w:cs="Times New Roman"/>
          <w:sz w:val="28"/>
          <w:szCs w:val="28"/>
          <w:lang w:val="uk-UA"/>
        </w:rPr>
        <w:t xml:space="preserve">, вхідний світлофор закриється. В блоці УП дільниці НАП збудиться реле 1М.Коли потяг повністю </w:t>
      </w:r>
      <w:proofErr w:type="spellStart"/>
      <w:r w:rsidR="00BC6E51">
        <w:rPr>
          <w:rFonts w:ascii="Times New Roman" w:hAnsi="Times New Roman" w:cs="Times New Roman"/>
          <w:sz w:val="28"/>
          <w:szCs w:val="28"/>
          <w:lang w:val="uk-UA"/>
        </w:rPr>
        <w:t>освободить</w:t>
      </w:r>
      <w:proofErr w:type="spellEnd"/>
      <w:r w:rsidR="00BC6E51">
        <w:rPr>
          <w:rFonts w:ascii="Times New Roman" w:hAnsi="Times New Roman" w:cs="Times New Roman"/>
          <w:sz w:val="28"/>
          <w:szCs w:val="28"/>
          <w:lang w:val="uk-UA"/>
        </w:rPr>
        <w:t xml:space="preserve"> секцію НАП і займе секцію 1СП</w:t>
      </w:r>
      <w:r w:rsidR="000209AE">
        <w:rPr>
          <w:rFonts w:ascii="Times New Roman" w:hAnsi="Times New Roman" w:cs="Times New Roman"/>
          <w:sz w:val="28"/>
          <w:szCs w:val="28"/>
          <w:lang w:val="uk-UA"/>
        </w:rPr>
        <w:t xml:space="preserve">,в блоці  УП дільниці НАП збудиться реле 2М, Потім реле </w:t>
      </w:r>
      <w:proofErr w:type="spellStart"/>
      <w:r w:rsidR="000209AE">
        <w:rPr>
          <w:rFonts w:ascii="Times New Roman" w:hAnsi="Times New Roman" w:cs="Times New Roman"/>
          <w:sz w:val="28"/>
          <w:szCs w:val="28"/>
          <w:lang w:val="uk-UA"/>
        </w:rPr>
        <w:t>самоблокується</w:t>
      </w:r>
      <w:proofErr w:type="spellEnd"/>
      <w:r w:rsidR="000209AE">
        <w:rPr>
          <w:rFonts w:ascii="Times New Roman" w:hAnsi="Times New Roman" w:cs="Times New Roman"/>
          <w:sz w:val="28"/>
          <w:szCs w:val="28"/>
          <w:lang w:val="uk-UA"/>
        </w:rPr>
        <w:t xml:space="preserve"> через власний контакт. Через </w:t>
      </w:r>
      <w:r w:rsidR="00BC6E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09AE">
        <w:rPr>
          <w:rFonts w:ascii="Times New Roman" w:hAnsi="Times New Roman" w:cs="Times New Roman"/>
          <w:sz w:val="28"/>
          <w:szCs w:val="28"/>
          <w:lang w:val="uk-UA"/>
        </w:rPr>
        <w:t>фронтові контакти реле 1М,2М збудиться реле З, і секція розімкнеться. Потім в блоці секції 1СП встане п</w:t>
      </w:r>
      <w:r w:rsidR="003D44BF">
        <w:rPr>
          <w:rFonts w:ascii="Times New Roman" w:hAnsi="Times New Roman" w:cs="Times New Roman"/>
          <w:sz w:val="28"/>
          <w:szCs w:val="28"/>
          <w:lang w:val="uk-UA"/>
        </w:rPr>
        <w:t xml:space="preserve">ід струм реле 1М, з перевіркою що в блоці секції НАП обидва </w:t>
      </w:r>
      <w:proofErr w:type="spellStart"/>
      <w:r w:rsidR="003D44BF">
        <w:rPr>
          <w:rFonts w:ascii="Times New Roman" w:hAnsi="Times New Roman" w:cs="Times New Roman"/>
          <w:sz w:val="28"/>
          <w:szCs w:val="28"/>
          <w:lang w:val="uk-UA"/>
        </w:rPr>
        <w:t>маршр</w:t>
      </w:r>
      <w:proofErr w:type="spellEnd"/>
      <w:r w:rsidR="003D44BF">
        <w:rPr>
          <w:rFonts w:ascii="Times New Roman" w:hAnsi="Times New Roman" w:cs="Times New Roman"/>
          <w:sz w:val="28"/>
          <w:szCs w:val="28"/>
          <w:lang w:val="uk-UA"/>
        </w:rPr>
        <w:t xml:space="preserve">. реле під струмом. Коли потяг звільнить секцію 1СП, в блоці СП-69 цієї секції спрацює реле 2М. Через фронтові контакти </w:t>
      </w:r>
      <w:proofErr w:type="spellStart"/>
      <w:r w:rsidR="003D44BF">
        <w:rPr>
          <w:rFonts w:ascii="Times New Roman" w:hAnsi="Times New Roman" w:cs="Times New Roman"/>
          <w:sz w:val="28"/>
          <w:szCs w:val="28"/>
          <w:lang w:val="uk-UA"/>
        </w:rPr>
        <w:t>маршр</w:t>
      </w:r>
      <w:proofErr w:type="spellEnd"/>
      <w:r w:rsidR="003D44BF">
        <w:rPr>
          <w:rFonts w:ascii="Times New Roman" w:hAnsi="Times New Roman" w:cs="Times New Roman"/>
          <w:sz w:val="28"/>
          <w:szCs w:val="28"/>
          <w:lang w:val="uk-UA"/>
        </w:rPr>
        <w:t xml:space="preserve">. реле збудиться реле З і секція розімкнеться.   В блоці СП-69 секції 5СП спрацює реле 1М з перевіркою, що секція 1СП розімкнулась. Коли потяг звільнить секцію 5СП і займе путь </w:t>
      </w:r>
      <w:r w:rsidR="003D44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D44BF">
        <w:rPr>
          <w:rFonts w:ascii="Times New Roman" w:hAnsi="Times New Roman" w:cs="Times New Roman"/>
          <w:sz w:val="28"/>
          <w:szCs w:val="28"/>
          <w:lang w:val="uk-UA"/>
        </w:rPr>
        <w:t xml:space="preserve">П в блоці СП-69 секції </w:t>
      </w:r>
      <w:r w:rsidR="00E40159">
        <w:rPr>
          <w:rFonts w:ascii="Times New Roman" w:hAnsi="Times New Roman" w:cs="Times New Roman"/>
          <w:sz w:val="28"/>
          <w:szCs w:val="28"/>
          <w:lang w:val="uk-UA"/>
        </w:rPr>
        <w:t>5СП збудиться реле 2М. Через фронтові контакти маршрутних реле збудиться реле З, і секція 5СП розімкнеться.</w:t>
      </w:r>
    </w:p>
    <w:p w:rsidR="00E40159" w:rsidRPr="00BB0AC9" w:rsidRDefault="00E4015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B0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0AC9">
        <w:rPr>
          <w:rFonts w:ascii="Times New Roman" w:hAnsi="Times New Roman" w:cs="Times New Roman"/>
          <w:sz w:val="28"/>
          <w:szCs w:val="28"/>
        </w:rPr>
        <w:t>Полюси</w:t>
      </w:r>
      <w:proofErr w:type="spellEnd"/>
      <w:r w:rsidR="00BB0AC9">
        <w:rPr>
          <w:rFonts w:ascii="Times New Roman" w:hAnsi="Times New Roman" w:cs="Times New Roman"/>
          <w:sz w:val="28"/>
          <w:szCs w:val="28"/>
        </w:rPr>
        <w:t xml:space="preserve"> </w:t>
      </w:r>
      <w:r w:rsidR="00BB0AC9" w:rsidRPr="00BB0AC9">
        <w:rPr>
          <w:rFonts w:ascii="Times New Roman" w:hAnsi="Times New Roman" w:cs="Times New Roman"/>
          <w:sz w:val="28"/>
          <w:szCs w:val="28"/>
        </w:rPr>
        <w:t xml:space="preserve"> </w:t>
      </w:r>
      <w:r w:rsidR="00BB0AC9">
        <w:rPr>
          <w:rFonts w:ascii="Times New Roman" w:hAnsi="Times New Roman" w:cs="Times New Roman"/>
          <w:sz w:val="28"/>
          <w:szCs w:val="28"/>
          <w:lang w:val="uk-UA"/>
        </w:rPr>
        <w:t>МГОТ</w:t>
      </w:r>
      <w:proofErr w:type="gramStart"/>
      <w:r w:rsidR="00BB0AC9">
        <w:rPr>
          <w:rFonts w:ascii="Times New Roman" w:hAnsi="Times New Roman" w:cs="Times New Roman"/>
          <w:sz w:val="28"/>
          <w:szCs w:val="28"/>
          <w:lang w:val="uk-UA"/>
        </w:rPr>
        <w:t>,М</w:t>
      </w:r>
      <w:proofErr w:type="gramEnd"/>
      <w:r w:rsidR="00BB0AC9">
        <w:rPr>
          <w:rFonts w:ascii="Times New Roman" w:hAnsi="Times New Roman" w:cs="Times New Roman"/>
          <w:sz w:val="28"/>
          <w:szCs w:val="28"/>
          <w:lang w:val="uk-UA"/>
        </w:rPr>
        <w:t xml:space="preserve">МВ,МПВ використовують для живлення реле ОТ при відміні маршруту.                                                                                                         Полюси </w:t>
      </w:r>
      <w:proofErr w:type="spellStart"/>
      <w:r w:rsidR="00BB0AC9">
        <w:rPr>
          <w:rFonts w:ascii="Times New Roman" w:hAnsi="Times New Roman" w:cs="Times New Roman"/>
          <w:sz w:val="28"/>
          <w:szCs w:val="28"/>
          <w:lang w:val="uk-UA"/>
        </w:rPr>
        <w:t>ПОВ</w:t>
      </w:r>
      <w:proofErr w:type="spellEnd"/>
      <w:r w:rsidR="00BB0AC9">
        <w:rPr>
          <w:rFonts w:ascii="Times New Roman" w:hAnsi="Times New Roman" w:cs="Times New Roman"/>
          <w:sz w:val="28"/>
          <w:szCs w:val="28"/>
          <w:lang w:val="uk-UA"/>
        </w:rPr>
        <w:t>,ППВ,ПМВ- для живлення реле розділки Р при відміні маршруту. Живлення подається з витримкою після закриття світлофора.</w:t>
      </w:r>
    </w:p>
    <w:sectPr w:rsidR="00E40159" w:rsidRPr="00BB0AC9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2547"/>
    <w:rsid w:val="000209AE"/>
    <w:rsid w:val="00077E83"/>
    <w:rsid w:val="0012481E"/>
    <w:rsid w:val="00142547"/>
    <w:rsid w:val="003D44BF"/>
    <w:rsid w:val="004F060B"/>
    <w:rsid w:val="0063575F"/>
    <w:rsid w:val="007012C8"/>
    <w:rsid w:val="008D2C95"/>
    <w:rsid w:val="008F674E"/>
    <w:rsid w:val="0090036E"/>
    <w:rsid w:val="009D1E40"/>
    <w:rsid w:val="00B92376"/>
    <w:rsid w:val="00BB0AC9"/>
    <w:rsid w:val="00BC6E51"/>
    <w:rsid w:val="00C15588"/>
    <w:rsid w:val="00C20673"/>
    <w:rsid w:val="00C660F2"/>
    <w:rsid w:val="00CF32EC"/>
    <w:rsid w:val="00E40159"/>
    <w:rsid w:val="00E81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5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142547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10</cp:revision>
  <dcterms:created xsi:type="dcterms:W3CDTF">2009-05-01T07:50:00Z</dcterms:created>
  <dcterms:modified xsi:type="dcterms:W3CDTF">2009-05-01T11:19:00Z</dcterms:modified>
</cp:coreProperties>
</file>